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B1CCB" w:rsidRPr="00FB1CCB" w:rsidRDefault="00FB1CCB" w:rsidP="00FB1CCB">
      <w:pPr>
        <w:adjustRightInd/>
        <w:snapToGrid/>
        <w:spacing w:beforeLines="50" w:before="156" w:afterLines="50" w:after="156"/>
        <w:ind w:firstLineChars="0" w:firstLine="0"/>
        <w:jc w:val="center"/>
        <w:rPr>
          <w:rFonts w:cs="Times New Roman"/>
          <w:bCs/>
          <w:sz w:val="21"/>
        </w:rPr>
      </w:pPr>
      <w:r w:rsidRPr="00FB1CCB">
        <w:rPr>
          <w:rFonts w:cs="Times New Roman"/>
          <w:bCs/>
          <w:sz w:val="21"/>
        </w:rPr>
        <w:t>Electronic Supplementary Information (ESI) for</w:t>
      </w:r>
    </w:p>
    <w:p w:rsidR="00FB1CCB" w:rsidRDefault="00E333EC" w:rsidP="003912D8">
      <w:pPr>
        <w:adjustRightInd/>
        <w:snapToGrid/>
        <w:spacing w:beforeLines="50" w:before="156" w:afterLines="50" w:after="156"/>
        <w:ind w:firstLineChars="0" w:firstLine="0"/>
        <w:jc w:val="center"/>
        <w:rPr>
          <w:rFonts w:cs="Times New Roman"/>
          <w:b/>
          <w:bCs/>
        </w:rPr>
      </w:pPr>
      <w:r>
        <w:rPr>
          <w:rFonts w:cs="Times New Roman" w:hint="eastAsia"/>
          <w:b/>
          <w:bCs/>
        </w:rPr>
        <w:t>ZIF-8</w:t>
      </w:r>
      <w:r>
        <w:rPr>
          <w:rFonts w:cs="Times New Roman"/>
          <w:b/>
          <w:bCs/>
        </w:rPr>
        <w:t>-derived Fe/P/</w:t>
      </w:r>
      <w:r>
        <w:rPr>
          <w:rFonts w:cs="Times New Roman" w:hint="eastAsia"/>
          <w:b/>
          <w:bCs/>
        </w:rPr>
        <w:t>N-co-doped</w:t>
      </w:r>
      <w:r w:rsidR="001D04F4">
        <w:rPr>
          <w:rFonts w:cs="Times New Roman"/>
          <w:b/>
          <w:bCs/>
        </w:rPr>
        <w:t xml:space="preserve"> Carbon </w:t>
      </w:r>
      <w:r>
        <w:rPr>
          <w:rFonts w:cs="Times New Roman"/>
          <w:b/>
          <w:bCs/>
        </w:rPr>
        <w:t>as Efficient Electrocatalysts for Oxygen Reduction Reaction and Zinc-air Batteries</w:t>
      </w:r>
    </w:p>
    <w:p w:rsidR="003912D8" w:rsidRDefault="003912D8" w:rsidP="003912D8">
      <w:pPr>
        <w:adjustRightInd/>
        <w:snapToGrid/>
        <w:spacing w:beforeLines="50" w:before="156" w:afterLines="50" w:after="156"/>
        <w:ind w:firstLineChars="0" w:firstLine="0"/>
        <w:jc w:val="center"/>
        <w:rPr>
          <w:sz w:val="24"/>
          <w:lang w:val="es-AR" w:eastAsia="en-GB"/>
        </w:rPr>
      </w:pPr>
      <w:r>
        <w:rPr>
          <w:rFonts w:hint="eastAsia"/>
          <w:sz w:val="24"/>
          <w:lang w:val="es-AR" w:eastAsia="en-GB"/>
        </w:rPr>
        <w:t xml:space="preserve"> </w:t>
      </w:r>
      <w:r w:rsidRPr="003912D8">
        <w:rPr>
          <w:rFonts w:hint="eastAsia"/>
          <w:sz w:val="24"/>
          <w:lang w:val="es-AR" w:eastAsia="en-GB"/>
        </w:rPr>
        <w:t>Yi Pu,</w:t>
      </w:r>
      <w:r w:rsidRPr="003912D8">
        <w:rPr>
          <w:rFonts w:hint="eastAsia"/>
          <w:sz w:val="24"/>
          <w:vertAlign w:val="superscript"/>
          <w:lang w:val="es-AR" w:eastAsia="en-GB"/>
        </w:rPr>
        <w:t xml:space="preserve"> a</w:t>
      </w:r>
      <w:r>
        <w:rPr>
          <w:rFonts w:hint="eastAsia"/>
          <w:sz w:val="24"/>
          <w:lang w:val="es-AR" w:eastAsia="en-GB"/>
        </w:rPr>
        <w:t xml:space="preserve"> </w:t>
      </w:r>
      <w:r w:rsidRPr="003912D8">
        <w:rPr>
          <w:sz w:val="24"/>
          <w:lang w:val="es-AR" w:eastAsia="en-GB"/>
        </w:rPr>
        <w:t>Ning</w:t>
      </w:r>
      <w:r w:rsidRPr="003912D8">
        <w:rPr>
          <w:rFonts w:hint="eastAsia"/>
          <w:sz w:val="24"/>
          <w:lang w:val="es-AR" w:eastAsia="en-GB"/>
        </w:rPr>
        <w:t xml:space="preserve"> </w:t>
      </w:r>
      <w:r w:rsidRPr="003912D8">
        <w:rPr>
          <w:sz w:val="24"/>
          <w:lang w:val="es-AR" w:eastAsia="en-GB"/>
        </w:rPr>
        <w:t>L</w:t>
      </w:r>
      <w:r w:rsidRPr="003912D8">
        <w:rPr>
          <w:rFonts w:hint="eastAsia"/>
          <w:sz w:val="24"/>
          <w:lang w:val="es-AR" w:eastAsia="en-GB"/>
        </w:rPr>
        <w:t>u,</w:t>
      </w:r>
      <w:r w:rsidRPr="003912D8">
        <w:rPr>
          <w:rFonts w:hint="eastAsia"/>
          <w:sz w:val="24"/>
          <w:vertAlign w:val="superscript"/>
          <w:lang w:val="es-AR" w:eastAsia="en-GB"/>
        </w:rPr>
        <w:t xml:space="preserve"> a</w:t>
      </w:r>
      <w:r>
        <w:rPr>
          <w:rFonts w:hint="eastAsia"/>
          <w:sz w:val="24"/>
          <w:lang w:val="es-AR" w:eastAsia="en-GB"/>
        </w:rPr>
        <w:t xml:space="preserve"> </w:t>
      </w:r>
      <w:r w:rsidRPr="003912D8">
        <w:rPr>
          <w:sz w:val="24"/>
          <w:lang w:val="es-AR" w:eastAsia="en-GB"/>
        </w:rPr>
        <w:t>F</w:t>
      </w:r>
      <w:r w:rsidRPr="003912D8">
        <w:rPr>
          <w:rFonts w:asciiTheme="minorEastAsia" w:eastAsiaTheme="minorEastAsia" w:hAnsiTheme="minorEastAsia" w:hint="eastAsia"/>
          <w:sz w:val="24"/>
          <w:lang w:val="es-AR"/>
        </w:rPr>
        <w:t>e</w:t>
      </w:r>
      <w:r w:rsidRPr="003912D8">
        <w:rPr>
          <w:sz w:val="24"/>
          <w:lang w:val="es-AR" w:eastAsia="en-GB"/>
        </w:rPr>
        <w:t>iy</w:t>
      </w:r>
      <w:bookmarkStart w:id="0" w:name="_GoBack"/>
      <w:bookmarkEnd w:id="0"/>
      <w:r w:rsidRPr="003912D8">
        <w:rPr>
          <w:sz w:val="24"/>
          <w:lang w:val="es-AR" w:eastAsia="en-GB"/>
        </w:rPr>
        <w:t>u</w:t>
      </w:r>
      <w:r w:rsidRPr="003912D8">
        <w:rPr>
          <w:rFonts w:hint="eastAsia"/>
          <w:sz w:val="24"/>
          <w:lang w:val="es-AR" w:eastAsia="en-GB"/>
        </w:rPr>
        <w:t xml:space="preserve"> </w:t>
      </w:r>
      <w:r w:rsidRPr="003912D8">
        <w:rPr>
          <w:sz w:val="24"/>
          <w:lang w:val="es-AR" w:eastAsia="en-GB"/>
        </w:rPr>
        <w:t>J</w:t>
      </w:r>
      <w:r w:rsidRPr="003912D8">
        <w:rPr>
          <w:rFonts w:asciiTheme="minorHAnsi" w:eastAsiaTheme="minorHAnsi" w:hAnsiTheme="minorHAnsi" w:hint="eastAsia"/>
          <w:sz w:val="24"/>
          <w:lang w:val="es-AR" w:eastAsia="en-GB"/>
        </w:rPr>
        <w:t>i</w:t>
      </w:r>
      <w:r w:rsidRPr="003912D8">
        <w:rPr>
          <w:sz w:val="24"/>
          <w:lang w:val="es-AR" w:eastAsia="en-GB"/>
        </w:rPr>
        <w:t>an</w:t>
      </w:r>
      <w:r w:rsidRPr="003912D8">
        <w:rPr>
          <w:rFonts w:hint="eastAsia"/>
          <w:sz w:val="24"/>
          <w:lang w:val="es-AR" w:eastAsia="en-GB"/>
        </w:rPr>
        <w:t>,</w:t>
      </w:r>
      <w:r w:rsidRPr="003912D8">
        <w:rPr>
          <w:rFonts w:hint="eastAsia"/>
          <w:sz w:val="24"/>
          <w:vertAlign w:val="superscript"/>
          <w:lang w:val="es-AR" w:eastAsia="en-GB"/>
        </w:rPr>
        <w:t xml:space="preserve"> </w:t>
      </w:r>
      <w:r w:rsidR="00003BD5" w:rsidRPr="003912D8">
        <w:rPr>
          <w:rFonts w:hint="eastAsia"/>
          <w:sz w:val="24"/>
          <w:vertAlign w:val="superscript"/>
          <w:lang w:val="es-AR" w:eastAsia="en-GB"/>
        </w:rPr>
        <w:t>a</w:t>
      </w:r>
      <w:r w:rsidR="00003BD5">
        <w:rPr>
          <w:sz w:val="24"/>
          <w:vertAlign w:val="superscript"/>
          <w:lang w:val="es-AR" w:eastAsia="en-GB"/>
        </w:rPr>
        <w:t xml:space="preserve"> </w:t>
      </w:r>
      <w:r w:rsidR="00C47AF0" w:rsidRPr="003912D8">
        <w:rPr>
          <w:sz w:val="24"/>
          <w:lang w:val="es-AR" w:eastAsia="en-GB"/>
        </w:rPr>
        <w:t>Y</w:t>
      </w:r>
      <w:r w:rsidR="00C47AF0" w:rsidRPr="003912D8">
        <w:rPr>
          <w:sz w:val="24"/>
          <w:lang w:val="es-AR" w:eastAsia="en-GB"/>
        </w:rPr>
        <w:t xml:space="preserve">ing </w:t>
      </w:r>
      <w:r w:rsidRPr="003912D8">
        <w:rPr>
          <w:sz w:val="24"/>
          <w:lang w:val="es-AR" w:eastAsia="en-GB"/>
        </w:rPr>
        <w:t>Wang</w:t>
      </w:r>
      <w:r w:rsidRPr="003912D8">
        <w:rPr>
          <w:rFonts w:hint="eastAsia"/>
          <w:sz w:val="24"/>
          <w:lang w:val="es-AR" w:eastAsia="en-GB"/>
        </w:rPr>
        <w:t>,</w:t>
      </w:r>
      <w:r w:rsidR="00003BD5" w:rsidRPr="00003BD5">
        <w:rPr>
          <w:rFonts w:hint="eastAsia"/>
          <w:sz w:val="24"/>
          <w:lang w:val="es-AR" w:eastAsia="en-GB"/>
        </w:rPr>
        <w:t xml:space="preserve"> </w:t>
      </w:r>
      <w:r w:rsidR="00003BD5" w:rsidRPr="003912D8">
        <w:rPr>
          <w:rFonts w:hint="eastAsia"/>
          <w:sz w:val="24"/>
          <w:lang w:val="es-AR" w:eastAsia="en-GB"/>
        </w:rPr>
        <w:t>*</w:t>
      </w:r>
      <w:r w:rsidR="00003BD5" w:rsidRPr="003912D8">
        <w:rPr>
          <w:sz w:val="24"/>
          <w:vertAlign w:val="superscript"/>
          <w:lang w:val="es-AR" w:eastAsia="en-GB"/>
        </w:rPr>
        <w:t>b</w:t>
      </w:r>
      <w:r w:rsidR="00003BD5" w:rsidRPr="003912D8">
        <w:rPr>
          <w:rFonts w:hint="eastAsia"/>
          <w:sz w:val="24"/>
          <w:lang w:val="es-AR" w:eastAsia="en-GB"/>
        </w:rPr>
        <w:t xml:space="preserve"> </w:t>
      </w:r>
      <w:r w:rsidRPr="003912D8">
        <w:rPr>
          <w:rFonts w:hint="eastAsia"/>
          <w:sz w:val="24"/>
          <w:lang w:val="es-AR" w:eastAsia="en-GB"/>
        </w:rPr>
        <w:t>Hui Tang</w:t>
      </w:r>
      <w:r w:rsidR="00003BD5" w:rsidRPr="003912D8">
        <w:rPr>
          <w:rFonts w:hint="eastAsia"/>
          <w:sz w:val="24"/>
          <w:lang w:val="es-AR" w:eastAsia="en-GB"/>
        </w:rPr>
        <w:t>*</w:t>
      </w:r>
      <w:r w:rsidR="00003BD5" w:rsidRPr="003912D8">
        <w:rPr>
          <w:rFonts w:hint="eastAsia"/>
          <w:sz w:val="24"/>
          <w:vertAlign w:val="superscript"/>
          <w:lang w:val="es-AR" w:eastAsia="en-GB"/>
        </w:rPr>
        <w:t>a</w:t>
      </w:r>
    </w:p>
    <w:p w:rsidR="003912D8" w:rsidRPr="00F1640D" w:rsidRDefault="003912D8" w:rsidP="003912D8">
      <w:pPr>
        <w:adjustRightInd/>
        <w:snapToGrid/>
        <w:spacing w:beforeLines="50" w:before="156" w:afterLines="50" w:after="156"/>
        <w:ind w:firstLineChars="0" w:firstLine="0"/>
        <w:jc w:val="left"/>
        <w:rPr>
          <w:rFonts w:eastAsia="Calibri" w:cs="Times New Roman"/>
          <w:kern w:val="0"/>
          <w:sz w:val="22"/>
          <w:szCs w:val="22"/>
          <w:lang w:val="en-GB" w:eastAsia="en-US"/>
        </w:rPr>
      </w:pPr>
      <w:r w:rsidRPr="00F1640D">
        <w:rPr>
          <w:rFonts w:cs="Times New Roman"/>
          <w:sz w:val="24"/>
          <w:vertAlign w:val="superscript"/>
          <w:lang w:val="es-AR" w:eastAsia="en-GB"/>
        </w:rPr>
        <w:t>a</w:t>
      </w:r>
      <w:r w:rsidRPr="00F1640D">
        <w:rPr>
          <w:rFonts w:eastAsia="Calibri" w:cs="Times New Roman"/>
          <w:kern w:val="0"/>
          <w:sz w:val="22"/>
          <w:szCs w:val="22"/>
          <w:lang w:val="en-GB" w:eastAsia="en-US"/>
        </w:rPr>
        <w:t xml:space="preserve"> School of Materials and Energy, University of Electronic Science and Technology of China, Chengdu, 611731, P. R. China. E-mail: tang@uestc.edu.cn, tanghui@uestc.edu.cn.</w:t>
      </w:r>
    </w:p>
    <w:p w:rsidR="003912D8" w:rsidRPr="00F1640D" w:rsidRDefault="003912D8" w:rsidP="003912D8">
      <w:pPr>
        <w:adjustRightInd/>
        <w:snapToGrid/>
        <w:spacing w:beforeLines="50" w:before="156" w:afterLines="50" w:after="156"/>
        <w:ind w:firstLineChars="0" w:firstLine="0"/>
        <w:jc w:val="left"/>
        <w:rPr>
          <w:rFonts w:eastAsia="Calibri" w:cs="Times New Roman"/>
          <w:kern w:val="0"/>
          <w:sz w:val="22"/>
          <w:szCs w:val="22"/>
          <w:lang w:val="en-GB" w:eastAsia="en-US"/>
        </w:rPr>
      </w:pPr>
      <w:r w:rsidRPr="00F1640D">
        <w:rPr>
          <w:rFonts w:cs="Times New Roman"/>
          <w:sz w:val="24"/>
          <w:vertAlign w:val="superscript"/>
          <w:lang w:val="es-AR" w:eastAsia="en-GB"/>
        </w:rPr>
        <w:t>b</w:t>
      </w:r>
      <w:r w:rsidRPr="00F1640D">
        <w:rPr>
          <w:rFonts w:eastAsia="Calibri" w:cs="Times New Roman"/>
          <w:kern w:val="0"/>
          <w:sz w:val="22"/>
          <w:szCs w:val="22"/>
          <w:lang w:val="en-GB" w:eastAsia="en-US"/>
        </w:rPr>
        <w:t xml:space="preserve"> Department of Mechanical &amp; Industrial Engineering, Louisiana State University, Baton Rouge, LA 70803, USA. E-mail: ywang@lsu.edu.</w:t>
      </w:r>
    </w:p>
    <w:p w:rsidR="00EB2AA2" w:rsidRDefault="00E333EC" w:rsidP="00FB1CCB">
      <w:pPr>
        <w:adjustRightInd/>
        <w:snapToGrid/>
        <w:spacing w:beforeLines="50" w:before="156" w:afterLines="50" w:after="156"/>
        <w:ind w:firstLineChars="0" w:firstLine="0"/>
        <w:rPr>
          <w:rFonts w:cs="Times New Roman"/>
          <w:b/>
          <w:bCs/>
          <w:sz w:val="24"/>
          <w:szCs w:val="24"/>
        </w:rPr>
      </w:pPr>
      <w:r>
        <w:rPr>
          <w:rFonts w:cs="Times New Roman"/>
          <w:b/>
          <w:bCs/>
          <w:sz w:val="24"/>
          <w:szCs w:val="24"/>
        </w:rPr>
        <w:t>EXPERIMENTAL SECTION</w:t>
      </w:r>
    </w:p>
    <w:p w:rsidR="00EB2AA2" w:rsidRPr="00FB1CCB" w:rsidRDefault="00E333EC" w:rsidP="00FB1CCB">
      <w:pPr>
        <w:adjustRightInd/>
        <w:snapToGrid/>
        <w:spacing w:beforeLines="50" w:before="156" w:afterLines="50" w:after="156"/>
        <w:ind w:firstLineChars="0" w:firstLine="0"/>
        <w:rPr>
          <w:rFonts w:cs="Times New Roman"/>
          <w:b/>
          <w:bCs/>
          <w:sz w:val="24"/>
          <w:szCs w:val="24"/>
        </w:rPr>
      </w:pPr>
      <w:r>
        <w:rPr>
          <w:rFonts w:cs="Times New Roman"/>
          <w:b/>
          <w:bCs/>
          <w:sz w:val="24"/>
          <w:szCs w:val="24"/>
        </w:rPr>
        <w:t>Materials</w:t>
      </w:r>
      <w:r w:rsidR="00FB1CCB">
        <w:rPr>
          <w:rFonts w:cs="Times New Roman"/>
          <w:b/>
          <w:bCs/>
          <w:sz w:val="24"/>
          <w:szCs w:val="24"/>
        </w:rPr>
        <w:t xml:space="preserve">. </w:t>
      </w:r>
      <w:r>
        <w:rPr>
          <w:rFonts w:cs="Times New Roman"/>
          <w:sz w:val="24"/>
          <w:szCs w:val="24"/>
        </w:rPr>
        <w:t xml:space="preserve">All chemicals were used as received without any further purification. Zinc nitrate </w:t>
      </w:r>
      <w:proofErr w:type="spellStart"/>
      <w:r>
        <w:rPr>
          <w:rFonts w:cs="Times New Roman"/>
          <w:sz w:val="24"/>
          <w:szCs w:val="24"/>
        </w:rPr>
        <w:t>hexahydrate</w:t>
      </w:r>
      <w:proofErr w:type="spellEnd"/>
      <w:r>
        <w:rPr>
          <w:rFonts w:cs="Times New Roman"/>
          <w:sz w:val="24"/>
          <w:szCs w:val="24"/>
        </w:rPr>
        <w:t xml:space="preserve"> (Zn(NO</w:t>
      </w:r>
      <w:r>
        <w:rPr>
          <w:rFonts w:cs="Times New Roman"/>
          <w:sz w:val="24"/>
          <w:szCs w:val="24"/>
          <w:vertAlign w:val="subscript"/>
        </w:rPr>
        <w:t>3</w:t>
      </w:r>
      <w:r>
        <w:rPr>
          <w:rFonts w:cs="Times New Roman"/>
          <w:sz w:val="24"/>
          <w:szCs w:val="24"/>
        </w:rPr>
        <w:t>)</w:t>
      </w:r>
      <w:r>
        <w:rPr>
          <w:rFonts w:cs="Times New Roman"/>
          <w:sz w:val="24"/>
          <w:szCs w:val="24"/>
          <w:vertAlign w:val="subscript"/>
        </w:rPr>
        <w:t>2</w:t>
      </w:r>
      <w:r>
        <w:rPr>
          <w:rFonts w:cs="Times New Roman"/>
          <w:sz w:val="24"/>
          <w:szCs w:val="24"/>
        </w:rPr>
        <w:t>·6H</w:t>
      </w:r>
      <w:r>
        <w:rPr>
          <w:rFonts w:cs="Times New Roman"/>
          <w:sz w:val="24"/>
          <w:szCs w:val="24"/>
          <w:vertAlign w:val="subscript"/>
        </w:rPr>
        <w:t>2</w:t>
      </w:r>
      <w:r>
        <w:rPr>
          <w:rFonts w:cs="Times New Roman"/>
          <w:sz w:val="24"/>
          <w:szCs w:val="24"/>
        </w:rPr>
        <w:t>O) (≥99 %), 2-Methylimidazole (2-MIM) (98 %), Methanol (99.5 %), 1,1'-Bis (diphenylphosphino) ferrocene (DPPF) (98%), N, N-</w:t>
      </w:r>
      <w:proofErr w:type="spellStart"/>
      <w:r>
        <w:rPr>
          <w:rFonts w:cs="Times New Roman"/>
          <w:sz w:val="24"/>
          <w:szCs w:val="24"/>
        </w:rPr>
        <w:t>Dimethylformamide</w:t>
      </w:r>
      <w:proofErr w:type="spellEnd"/>
      <w:r>
        <w:rPr>
          <w:rFonts w:cs="Times New Roman"/>
          <w:sz w:val="24"/>
          <w:szCs w:val="24"/>
        </w:rPr>
        <w:t xml:space="preserve"> (DMF) (≥99.5 %), Potassium hydroxide (KOH) (≥99 %) were purchased from bought from Shanghai Aladdin Biochemical Technology Co., Ltd. Commercial 20% Pt/C was purchased from Suzhou </w:t>
      </w:r>
      <w:proofErr w:type="spellStart"/>
      <w:r>
        <w:rPr>
          <w:rFonts w:cs="Times New Roman"/>
          <w:sz w:val="24"/>
          <w:szCs w:val="24"/>
        </w:rPr>
        <w:t>Yilongsheng</w:t>
      </w:r>
      <w:proofErr w:type="spellEnd"/>
      <w:r>
        <w:rPr>
          <w:rFonts w:cs="Times New Roman"/>
          <w:sz w:val="24"/>
          <w:szCs w:val="24"/>
        </w:rPr>
        <w:t xml:space="preserve"> Energy Technology Co., Ltd.  </w:t>
      </w:r>
    </w:p>
    <w:p w:rsidR="00EB2AA2" w:rsidRPr="00FB1CCB" w:rsidRDefault="00E333EC" w:rsidP="00FB1CCB">
      <w:pPr>
        <w:adjustRightInd/>
        <w:snapToGrid/>
        <w:spacing w:beforeLines="50" w:before="156" w:afterLines="50" w:after="156"/>
        <w:ind w:firstLineChars="0" w:firstLine="0"/>
        <w:rPr>
          <w:rFonts w:cs="Times New Roman"/>
          <w:b/>
          <w:bCs/>
          <w:sz w:val="24"/>
          <w:szCs w:val="24"/>
        </w:rPr>
      </w:pPr>
      <w:r>
        <w:rPr>
          <w:rFonts w:cs="Times New Roman"/>
          <w:b/>
          <w:bCs/>
          <w:sz w:val="24"/>
          <w:szCs w:val="24"/>
        </w:rPr>
        <w:t>Synthesis of ZIF-8 and N-C</w:t>
      </w:r>
      <w:r w:rsidR="00FB1CCB">
        <w:rPr>
          <w:rFonts w:cs="Times New Roman" w:hint="eastAsia"/>
          <w:b/>
          <w:bCs/>
          <w:sz w:val="24"/>
          <w:szCs w:val="24"/>
        </w:rPr>
        <w:t xml:space="preserve">. </w:t>
      </w:r>
      <w:r>
        <w:rPr>
          <w:rFonts w:cs="Times New Roman"/>
          <w:sz w:val="24"/>
          <w:szCs w:val="24"/>
        </w:rPr>
        <w:t>ZIF-8 was synthesized following a method described in the literature with a little modification. Typically, 2-methylimidazole with a mass of 11.2 g was added into 50 mL methanol, 50 mL methanol containing 4 g Zn(NO</w:t>
      </w:r>
      <w:r>
        <w:rPr>
          <w:rFonts w:cs="Times New Roman"/>
          <w:sz w:val="24"/>
          <w:szCs w:val="24"/>
          <w:vertAlign w:val="subscript"/>
        </w:rPr>
        <w:t>3</w:t>
      </w:r>
      <w:r>
        <w:rPr>
          <w:rFonts w:cs="Times New Roman"/>
          <w:sz w:val="24"/>
          <w:szCs w:val="24"/>
        </w:rPr>
        <w:t>)</w:t>
      </w:r>
      <w:r>
        <w:rPr>
          <w:rFonts w:cs="Times New Roman"/>
          <w:sz w:val="24"/>
          <w:szCs w:val="24"/>
          <w:vertAlign w:val="subscript"/>
        </w:rPr>
        <w:t>2</w:t>
      </w:r>
      <w:r>
        <w:rPr>
          <w:rFonts w:cs="Times New Roman"/>
          <w:sz w:val="24"/>
          <w:szCs w:val="24"/>
        </w:rPr>
        <w:t>·6H</w:t>
      </w:r>
      <w:r>
        <w:rPr>
          <w:rFonts w:cs="Times New Roman"/>
          <w:sz w:val="24"/>
          <w:szCs w:val="24"/>
          <w:vertAlign w:val="subscript"/>
        </w:rPr>
        <w:t>2</w:t>
      </w:r>
      <w:r>
        <w:rPr>
          <w:rFonts w:cs="Times New Roman"/>
          <w:sz w:val="24"/>
          <w:szCs w:val="24"/>
        </w:rPr>
        <w:t>O was poured into the above solution with stirring for 24 h at room temperature. The product was separated by centrifugation and washed with methanol, and dried.</w:t>
      </w:r>
      <w:r>
        <w:rPr>
          <w:rFonts w:eastAsia="微软雅黑" w:cs="Times New Roman"/>
          <w:sz w:val="24"/>
          <w:szCs w:val="24"/>
        </w:rPr>
        <w:t xml:space="preserve"> N-C was </w:t>
      </w:r>
      <w:r>
        <w:rPr>
          <w:rFonts w:cs="Times New Roman"/>
          <w:sz w:val="24"/>
          <w:szCs w:val="24"/>
        </w:rPr>
        <w:t>synthesized by annealing the ZIF-8 precursor at 950 ℃ for 2 h.</w:t>
      </w:r>
    </w:p>
    <w:p w:rsidR="00EB2AA2" w:rsidRPr="00FB1CCB" w:rsidRDefault="00E333EC" w:rsidP="00FB1CCB">
      <w:pPr>
        <w:adjustRightInd/>
        <w:snapToGrid/>
        <w:spacing w:beforeLines="50" w:before="156" w:afterLines="50" w:after="156"/>
        <w:ind w:firstLineChars="0" w:firstLine="0"/>
        <w:rPr>
          <w:rFonts w:cs="Times New Roman"/>
          <w:b/>
          <w:bCs/>
          <w:sz w:val="24"/>
          <w:szCs w:val="24"/>
        </w:rPr>
      </w:pPr>
      <w:r>
        <w:rPr>
          <w:rFonts w:cs="Times New Roman"/>
          <w:b/>
          <w:bCs/>
          <w:sz w:val="24"/>
          <w:szCs w:val="24"/>
        </w:rPr>
        <w:t>Synthesis of Fe-N/P-C and Fe-N-C</w:t>
      </w:r>
      <w:r w:rsidR="00FB1CCB">
        <w:rPr>
          <w:rFonts w:cs="Times New Roman"/>
          <w:b/>
          <w:bCs/>
          <w:sz w:val="24"/>
          <w:szCs w:val="24"/>
        </w:rPr>
        <w:t xml:space="preserve">. </w:t>
      </w:r>
      <w:r>
        <w:rPr>
          <w:rFonts w:cs="Times New Roman"/>
          <w:sz w:val="24"/>
          <w:szCs w:val="24"/>
        </w:rPr>
        <w:t xml:space="preserve">The Fe-N/P-C catalyst was synthesized by a facile method as follow: the synthesized ZIF-8 precursor with a mass of 1 g was added to 50 mL of DMF and sonicated for 30 minutes to disperse it. Then 0.2 g DPPF </w:t>
      </w:r>
      <w:r>
        <w:rPr>
          <w:rFonts w:cs="Times New Roman"/>
          <w:sz w:val="24"/>
          <w:szCs w:val="24"/>
        </w:rPr>
        <w:lastRenderedPageBreak/>
        <w:t>was added and stirred for 12 hours. The product was separated by centrifuge, wash, filter and dry overnight at 80 ℃. Finally, the white powder was annealed at 950 ℃ for 2 h, the final product was labeled as Fe-</w:t>
      </w:r>
      <w:r w:rsidR="00F13259">
        <w:rPr>
          <w:rFonts w:cs="Times New Roman"/>
          <w:sz w:val="24"/>
          <w:szCs w:val="24"/>
        </w:rPr>
        <w:t>P</w:t>
      </w:r>
      <w:r>
        <w:rPr>
          <w:rFonts w:cs="Times New Roman"/>
          <w:sz w:val="24"/>
          <w:szCs w:val="24"/>
        </w:rPr>
        <w:t>/</w:t>
      </w:r>
      <w:r w:rsidR="00F13259">
        <w:rPr>
          <w:rFonts w:cs="Times New Roman"/>
          <w:sz w:val="24"/>
          <w:szCs w:val="24"/>
        </w:rPr>
        <w:t>N</w:t>
      </w:r>
      <w:r>
        <w:rPr>
          <w:rFonts w:cs="Times New Roman"/>
          <w:sz w:val="24"/>
          <w:szCs w:val="24"/>
        </w:rPr>
        <w:t xml:space="preserve">-C. For the synthesize of Fe-N-C, DPPF was replaced by ferrocene. </w:t>
      </w:r>
    </w:p>
    <w:p w:rsidR="00EB2AA2" w:rsidRPr="00FB1CCB" w:rsidRDefault="00E333EC" w:rsidP="00FB1CCB">
      <w:pPr>
        <w:adjustRightInd/>
        <w:snapToGrid/>
        <w:spacing w:beforeLines="50" w:before="156" w:afterLines="50" w:after="156"/>
        <w:ind w:firstLineChars="0" w:firstLine="0"/>
        <w:rPr>
          <w:rFonts w:cs="Times New Roman"/>
          <w:b/>
          <w:bCs/>
          <w:sz w:val="24"/>
          <w:szCs w:val="24"/>
        </w:rPr>
      </w:pPr>
      <w:r>
        <w:rPr>
          <w:rFonts w:cs="Times New Roman"/>
          <w:b/>
          <w:bCs/>
          <w:sz w:val="24"/>
          <w:szCs w:val="24"/>
        </w:rPr>
        <w:t>Material characterization</w:t>
      </w:r>
      <w:r w:rsidR="00FB1CCB">
        <w:rPr>
          <w:rFonts w:cs="Times New Roman"/>
          <w:b/>
          <w:bCs/>
          <w:sz w:val="24"/>
          <w:szCs w:val="24"/>
        </w:rPr>
        <w:t>.</w:t>
      </w:r>
      <w:r w:rsidR="00FB1CCB">
        <w:rPr>
          <w:rFonts w:cs="Times New Roman" w:hint="eastAsia"/>
          <w:b/>
          <w:bCs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The morphology of the samples was examined by scanning electron microscopy (SEM; Hitachi S-4800), transmission electron microscopy (TEM; </w:t>
      </w:r>
      <w:proofErr w:type="spellStart"/>
      <w:r>
        <w:rPr>
          <w:rFonts w:cs="Times New Roman"/>
          <w:sz w:val="24"/>
          <w:szCs w:val="24"/>
        </w:rPr>
        <w:t>Tecnai</w:t>
      </w:r>
      <w:proofErr w:type="spellEnd"/>
      <w:r>
        <w:rPr>
          <w:rFonts w:cs="Times New Roman"/>
          <w:sz w:val="24"/>
          <w:szCs w:val="24"/>
        </w:rPr>
        <w:t xml:space="preserve"> G2 F20 S-Twin TMP), high-resolution TEM (HRTEM; </w:t>
      </w:r>
      <w:proofErr w:type="spellStart"/>
      <w:r>
        <w:rPr>
          <w:rFonts w:cs="Times New Roman"/>
          <w:sz w:val="24"/>
          <w:szCs w:val="24"/>
        </w:rPr>
        <w:t>Tecnai</w:t>
      </w:r>
      <w:proofErr w:type="spellEnd"/>
      <w:r>
        <w:rPr>
          <w:rFonts w:cs="Times New Roman"/>
          <w:sz w:val="24"/>
          <w:szCs w:val="24"/>
        </w:rPr>
        <w:t xml:space="preserve"> G2 F20 S-Twin TMP), and scanning transmission electron microscopy (STEM; </w:t>
      </w:r>
      <w:proofErr w:type="spellStart"/>
      <w:r>
        <w:rPr>
          <w:rFonts w:cs="Times New Roman"/>
          <w:sz w:val="24"/>
          <w:szCs w:val="24"/>
        </w:rPr>
        <w:t>Tecnai</w:t>
      </w:r>
      <w:proofErr w:type="spellEnd"/>
      <w:r>
        <w:rPr>
          <w:rFonts w:cs="Times New Roman"/>
          <w:sz w:val="24"/>
          <w:szCs w:val="24"/>
        </w:rPr>
        <w:t xml:space="preserve"> G2 F20 S-Twin TMP). The chemical composition and crystalline structure were tested with XRD (Bruker D8 Advance diffractometer, Cu kα), XPS (</w:t>
      </w:r>
      <w:proofErr w:type="spellStart"/>
      <w:r>
        <w:rPr>
          <w:rFonts w:cs="Times New Roman"/>
          <w:sz w:val="24"/>
          <w:szCs w:val="24"/>
        </w:rPr>
        <w:t>Ultima</w:t>
      </w:r>
      <w:proofErr w:type="spellEnd"/>
      <w:r>
        <w:rPr>
          <w:rFonts w:cs="Times New Roman"/>
          <w:sz w:val="24"/>
          <w:szCs w:val="24"/>
        </w:rPr>
        <w:t xml:space="preserve"> IV, Al Kα X-ray radiation of 1486.6 eV). Raman Spectroscopy (Lab RAM HR Evolution, Horiba, Japan) with an electron excitation wave length of 532 nm. Nitrogen adsorption−desorption isotherms and pore size distribution were characterized with a Micrometrics ASAP2460 analyzer at 77 K. </w:t>
      </w:r>
    </w:p>
    <w:p w:rsidR="00EB2AA2" w:rsidRPr="00FB1CCB" w:rsidRDefault="00E333EC" w:rsidP="00FB1CCB">
      <w:pPr>
        <w:adjustRightInd/>
        <w:snapToGrid/>
        <w:spacing w:beforeLines="50" w:before="156" w:afterLines="50" w:after="156"/>
        <w:ind w:firstLineChars="0" w:firstLine="0"/>
        <w:rPr>
          <w:rFonts w:cs="Times New Roman"/>
          <w:b/>
          <w:bCs/>
          <w:sz w:val="24"/>
          <w:szCs w:val="24"/>
        </w:rPr>
      </w:pPr>
      <w:r>
        <w:rPr>
          <w:rFonts w:cs="Times New Roman"/>
          <w:b/>
          <w:bCs/>
          <w:sz w:val="24"/>
          <w:szCs w:val="24"/>
        </w:rPr>
        <w:t>Electrochemical measurements</w:t>
      </w:r>
      <w:r w:rsidR="00FB1CCB">
        <w:rPr>
          <w:rFonts w:cs="Times New Roman" w:hint="eastAsia"/>
          <w:b/>
          <w:bCs/>
          <w:sz w:val="24"/>
          <w:szCs w:val="24"/>
        </w:rPr>
        <w:t xml:space="preserve">. </w:t>
      </w:r>
      <w:r>
        <w:rPr>
          <w:rFonts w:cs="Times New Roman"/>
          <w:sz w:val="24"/>
          <w:szCs w:val="24"/>
        </w:rPr>
        <w:t xml:space="preserve">The electrochemical measurements were carried out using the </w:t>
      </w:r>
      <w:proofErr w:type="spellStart"/>
      <w:r>
        <w:rPr>
          <w:rFonts w:cs="Times New Roman"/>
          <w:sz w:val="24"/>
          <w:szCs w:val="24"/>
        </w:rPr>
        <w:t>Gamry</w:t>
      </w:r>
      <w:proofErr w:type="spellEnd"/>
      <w:r>
        <w:rPr>
          <w:rFonts w:cs="Times New Roman"/>
          <w:sz w:val="24"/>
          <w:szCs w:val="24"/>
        </w:rPr>
        <w:t xml:space="preserve"> Reference 600 + electrochemical workstation in a general three-electrode system, in which Hg/</w:t>
      </w:r>
      <w:proofErr w:type="spellStart"/>
      <w:r>
        <w:rPr>
          <w:rFonts w:cs="Times New Roman"/>
          <w:sz w:val="24"/>
          <w:szCs w:val="24"/>
        </w:rPr>
        <w:t>HgO</w:t>
      </w:r>
      <w:proofErr w:type="spellEnd"/>
      <w:r>
        <w:rPr>
          <w:rFonts w:cs="Times New Roman"/>
          <w:sz w:val="24"/>
          <w:szCs w:val="24"/>
        </w:rPr>
        <w:t xml:space="preserve"> (1 M KOH) was regarded as the reference electrode, carbon electrode as the counter electrode, and 0.1 M KOH aqueous solution as electrolyte. All the potentials in this work were converted to the reversible hydrogen electrode (RHE) according to the Nernst equation (E</w:t>
      </w:r>
      <w:r>
        <w:rPr>
          <w:rFonts w:cs="Times New Roman"/>
          <w:sz w:val="24"/>
          <w:szCs w:val="24"/>
          <w:vertAlign w:val="subscript"/>
        </w:rPr>
        <w:t>RHE</w:t>
      </w:r>
      <w:r>
        <w:rPr>
          <w:rFonts w:cs="Times New Roman"/>
          <w:sz w:val="24"/>
          <w:szCs w:val="24"/>
        </w:rPr>
        <w:t xml:space="preserve"> = E (Hg/</w:t>
      </w:r>
      <w:proofErr w:type="spellStart"/>
      <w:r>
        <w:rPr>
          <w:rFonts w:cs="Times New Roman"/>
          <w:sz w:val="24"/>
          <w:szCs w:val="24"/>
        </w:rPr>
        <w:t>HgO</w:t>
      </w:r>
      <w:proofErr w:type="spellEnd"/>
      <w:r>
        <w:rPr>
          <w:rFonts w:cs="Times New Roman"/>
          <w:sz w:val="24"/>
          <w:szCs w:val="24"/>
        </w:rPr>
        <w:t>) + 0.0591 × pH + 0.095). Working electrodes were prepared by dispersing 5 mg of catalyst powder with 1 mL ethanol-</w:t>
      </w:r>
      <w:proofErr w:type="spellStart"/>
      <w:r>
        <w:rPr>
          <w:rFonts w:cs="Times New Roman"/>
          <w:sz w:val="24"/>
          <w:szCs w:val="24"/>
        </w:rPr>
        <w:t>Nafion</w:t>
      </w:r>
      <w:proofErr w:type="spellEnd"/>
      <w:r>
        <w:rPr>
          <w:rFonts w:cs="Times New Roman"/>
          <w:sz w:val="24"/>
          <w:szCs w:val="24"/>
        </w:rPr>
        <w:t xml:space="preserve"> (5 wt%) (v/ v = 18/2) mixed solvent by sonication for at least 30 min. The loading amounts of all the catalysts including commercial Pt/C (20 wt%) were 0.4</w:t>
      </w:r>
      <w:r>
        <w:rPr>
          <w:rFonts w:cs="Times New Roman"/>
          <w:color w:val="FF0000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mg cm</w:t>
      </w:r>
      <w:r>
        <w:rPr>
          <w:rFonts w:cs="Times New Roman"/>
          <w:sz w:val="24"/>
          <w:szCs w:val="24"/>
          <w:vertAlign w:val="superscript"/>
        </w:rPr>
        <w:t>–2</w:t>
      </w:r>
      <w:r>
        <w:rPr>
          <w:rFonts w:cs="Times New Roman"/>
          <w:sz w:val="24"/>
          <w:szCs w:val="24"/>
        </w:rPr>
        <w:t>. The cyclic voltammetry (CV) tests were conducted in N</w:t>
      </w:r>
      <w:r>
        <w:rPr>
          <w:rFonts w:cs="Times New Roman"/>
          <w:sz w:val="24"/>
          <w:szCs w:val="24"/>
          <w:vertAlign w:val="subscript"/>
        </w:rPr>
        <w:t>2</w:t>
      </w:r>
      <w:r>
        <w:rPr>
          <w:rFonts w:cs="Times New Roman"/>
          <w:sz w:val="24"/>
          <w:szCs w:val="24"/>
        </w:rPr>
        <w:t>- and O</w:t>
      </w:r>
      <w:r>
        <w:rPr>
          <w:rFonts w:cs="Times New Roman"/>
          <w:sz w:val="24"/>
          <w:szCs w:val="24"/>
          <w:vertAlign w:val="subscript"/>
        </w:rPr>
        <w:t>2</w:t>
      </w:r>
      <w:r>
        <w:rPr>
          <w:rFonts w:cs="Times New Roman"/>
          <w:sz w:val="24"/>
          <w:szCs w:val="24"/>
        </w:rPr>
        <w:t>-saturated electrolyte solutions at 50 mV s</w:t>
      </w:r>
      <w:r>
        <w:rPr>
          <w:rFonts w:cs="Times New Roman"/>
          <w:sz w:val="24"/>
          <w:szCs w:val="24"/>
          <w:vertAlign w:val="superscript"/>
        </w:rPr>
        <w:t>–1</w:t>
      </w:r>
      <w:r>
        <w:rPr>
          <w:rFonts w:cs="Times New Roman"/>
          <w:sz w:val="24"/>
          <w:szCs w:val="24"/>
        </w:rPr>
        <w:t xml:space="preserve"> scan rate. The linear sweep voltammetry (LSV) tests were performed in O</w:t>
      </w:r>
      <w:r>
        <w:rPr>
          <w:rFonts w:cs="Times New Roman"/>
          <w:sz w:val="24"/>
          <w:szCs w:val="24"/>
          <w:vertAlign w:val="subscript"/>
        </w:rPr>
        <w:t>2</w:t>
      </w:r>
      <w:r>
        <w:rPr>
          <w:rFonts w:cs="Times New Roman"/>
          <w:sz w:val="24"/>
          <w:szCs w:val="24"/>
        </w:rPr>
        <w:t>-saturated electrolyte solutions at different rotating speeds from 400 to 2025 rpm with a scan rate of 10 mV s</w:t>
      </w:r>
      <w:r>
        <w:rPr>
          <w:rFonts w:cs="Times New Roman"/>
          <w:sz w:val="24"/>
          <w:szCs w:val="24"/>
          <w:vertAlign w:val="superscript"/>
        </w:rPr>
        <w:t>–1</w:t>
      </w:r>
      <w:r>
        <w:rPr>
          <w:rFonts w:cs="Times New Roman"/>
          <w:sz w:val="24"/>
          <w:szCs w:val="24"/>
        </w:rPr>
        <w:t xml:space="preserve">. Durability was investigated by </w:t>
      </w:r>
      <w:proofErr w:type="spellStart"/>
      <w:r>
        <w:rPr>
          <w:rFonts w:cs="Times New Roman"/>
          <w:sz w:val="24"/>
          <w:szCs w:val="24"/>
        </w:rPr>
        <w:t>chronoamperometry</w:t>
      </w:r>
      <w:proofErr w:type="spellEnd"/>
      <w:r>
        <w:rPr>
          <w:rFonts w:cs="Times New Roman"/>
          <w:sz w:val="24"/>
          <w:szCs w:val="24"/>
        </w:rPr>
        <w:t xml:space="preserve"> at 0.</w:t>
      </w:r>
      <w:r w:rsidR="00A52A6D">
        <w:rPr>
          <w:rFonts w:cs="Times New Roman"/>
          <w:sz w:val="24"/>
          <w:szCs w:val="24"/>
        </w:rPr>
        <w:t>7</w:t>
      </w:r>
      <w:r>
        <w:rPr>
          <w:rFonts w:cs="Times New Roman"/>
          <w:sz w:val="24"/>
          <w:szCs w:val="24"/>
        </w:rPr>
        <w:t xml:space="preserve"> V vs. RHE in O</w:t>
      </w:r>
      <w:r>
        <w:rPr>
          <w:rFonts w:cs="Times New Roman"/>
          <w:sz w:val="24"/>
          <w:szCs w:val="24"/>
          <w:vertAlign w:val="subscript"/>
        </w:rPr>
        <w:t>2</w:t>
      </w:r>
      <w:r>
        <w:rPr>
          <w:rFonts w:cs="Times New Roman"/>
          <w:sz w:val="24"/>
          <w:szCs w:val="24"/>
        </w:rPr>
        <w:t xml:space="preserve">-saturated electrolyte with a rotation speed of 1600 rpm. The methanol crossover </w:t>
      </w:r>
      <w:r>
        <w:rPr>
          <w:rFonts w:cs="Times New Roman"/>
          <w:sz w:val="24"/>
          <w:szCs w:val="24"/>
        </w:rPr>
        <w:lastRenderedPageBreak/>
        <w:t xml:space="preserve">measurements were also recorded by </w:t>
      </w:r>
      <w:proofErr w:type="spellStart"/>
      <w:r>
        <w:rPr>
          <w:rFonts w:cs="Times New Roman"/>
          <w:sz w:val="24"/>
          <w:szCs w:val="24"/>
        </w:rPr>
        <w:t>chronoamperometry</w:t>
      </w:r>
      <w:proofErr w:type="spellEnd"/>
      <w:r>
        <w:rPr>
          <w:rFonts w:cs="Times New Roman"/>
          <w:sz w:val="24"/>
          <w:szCs w:val="24"/>
        </w:rPr>
        <w:t xml:space="preserve"> at 0.</w:t>
      </w:r>
      <w:r w:rsidR="00A52A6D">
        <w:rPr>
          <w:rFonts w:cs="Times New Roman"/>
          <w:sz w:val="24"/>
          <w:szCs w:val="24"/>
        </w:rPr>
        <w:t>7</w:t>
      </w:r>
      <w:r>
        <w:rPr>
          <w:rFonts w:cs="Times New Roman"/>
          <w:sz w:val="24"/>
          <w:szCs w:val="24"/>
        </w:rPr>
        <w:t xml:space="preserve"> V vs. RHE with a rotation speed of 1600 rpm with the addition of 3 M methanol into of 0.1 M KOH electrolyte at around 300 s. </w:t>
      </w:r>
    </w:p>
    <w:p w:rsidR="00A52A6D" w:rsidRDefault="00E333EC" w:rsidP="00FB1CCB">
      <w:pPr>
        <w:ind w:firstLineChars="0" w:firstLine="0"/>
        <w:rPr>
          <w:rFonts w:cs="Times New Roman"/>
          <w:sz w:val="24"/>
          <w:szCs w:val="24"/>
        </w:rPr>
        <w:sectPr w:rsidR="00A52A6D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 w:rsidRPr="00FB1CCB">
        <w:rPr>
          <w:rFonts w:cs="Times New Roman"/>
          <w:b/>
          <w:bCs/>
          <w:sz w:val="24"/>
          <w:szCs w:val="24"/>
        </w:rPr>
        <w:t>Construction of Zn-</w:t>
      </w:r>
      <w:r w:rsidR="00F13259">
        <w:rPr>
          <w:rFonts w:cs="Times New Roman"/>
          <w:b/>
          <w:bCs/>
          <w:sz w:val="24"/>
          <w:szCs w:val="24"/>
        </w:rPr>
        <w:t>a</w:t>
      </w:r>
      <w:r w:rsidRPr="00FB1CCB">
        <w:rPr>
          <w:rFonts w:cs="Times New Roman"/>
          <w:b/>
          <w:bCs/>
          <w:sz w:val="24"/>
          <w:szCs w:val="24"/>
        </w:rPr>
        <w:t xml:space="preserve">ir </w:t>
      </w:r>
      <w:r w:rsidR="00F13259">
        <w:rPr>
          <w:rFonts w:cs="Times New Roman"/>
          <w:b/>
          <w:bCs/>
          <w:sz w:val="24"/>
          <w:szCs w:val="24"/>
        </w:rPr>
        <w:t>b</w:t>
      </w:r>
      <w:r w:rsidRPr="00FB1CCB">
        <w:rPr>
          <w:rFonts w:cs="Times New Roman"/>
          <w:b/>
          <w:bCs/>
          <w:sz w:val="24"/>
          <w:szCs w:val="24"/>
        </w:rPr>
        <w:t>atteries.</w:t>
      </w:r>
      <w:r>
        <w:rPr>
          <w:rFonts w:cs="Times New Roman"/>
          <w:sz w:val="24"/>
          <w:szCs w:val="24"/>
        </w:rPr>
        <w:t xml:space="preserve"> A zinc-air battery was constructed with a Zn foil anode, air electrode and an electrolyte of 6 M KOH solution mixed with 0.2 M zinc acetate. Fe-</w:t>
      </w:r>
      <w:r w:rsidR="00F13259">
        <w:rPr>
          <w:rFonts w:cs="Times New Roman"/>
          <w:sz w:val="24"/>
          <w:szCs w:val="24"/>
        </w:rPr>
        <w:t>P/</w:t>
      </w:r>
      <w:r>
        <w:rPr>
          <w:rFonts w:cs="Times New Roman"/>
          <w:sz w:val="24"/>
          <w:szCs w:val="24"/>
        </w:rPr>
        <w:t>N-C and Pt/C were coated on carbon papers as cathodes. All the loading amount of the catalyst was 1 mg cm</w:t>
      </w:r>
      <w:r>
        <w:rPr>
          <w:rFonts w:cs="Times New Roman"/>
          <w:sz w:val="24"/>
          <w:szCs w:val="24"/>
          <w:vertAlign w:val="superscript"/>
        </w:rPr>
        <w:t>-2</w:t>
      </w:r>
      <w:r>
        <w:rPr>
          <w:rFonts w:cs="Times New Roman"/>
          <w:sz w:val="24"/>
          <w:szCs w:val="24"/>
        </w:rPr>
        <w:t>. The preparation method of the catalyst ink was the same as that used for electrochemical testing. The batteries were discharged at a current density of 10 mA cm</w:t>
      </w:r>
      <w:r>
        <w:rPr>
          <w:rFonts w:cs="Times New Roman"/>
          <w:sz w:val="24"/>
          <w:szCs w:val="24"/>
          <w:vertAlign w:val="superscript"/>
        </w:rPr>
        <w:t>-2</w:t>
      </w:r>
      <w:r>
        <w:rPr>
          <w:rFonts w:cs="Times New Roman"/>
          <w:sz w:val="24"/>
          <w:szCs w:val="24"/>
        </w:rPr>
        <w:t>. The test was measured by CH</w:t>
      </w:r>
      <w:r w:rsidR="00F13259">
        <w:rPr>
          <w:rFonts w:cs="Times New Roman"/>
          <w:sz w:val="24"/>
          <w:szCs w:val="24"/>
        </w:rPr>
        <w:t>I</w:t>
      </w:r>
      <w:r>
        <w:rPr>
          <w:rFonts w:cs="Times New Roman"/>
          <w:sz w:val="24"/>
          <w:szCs w:val="24"/>
        </w:rPr>
        <w:t xml:space="preserve"> 660 testing system.</w:t>
      </w:r>
    </w:p>
    <w:p w:rsidR="00EB2AA2" w:rsidRDefault="00EB2AA2" w:rsidP="00FB1CCB">
      <w:pPr>
        <w:ind w:firstLineChars="0" w:firstLine="0"/>
        <w:rPr>
          <w:rFonts w:cs="Times New Roman"/>
          <w:sz w:val="24"/>
          <w:szCs w:val="24"/>
        </w:rPr>
      </w:pPr>
    </w:p>
    <w:p w:rsidR="00EB2AA2" w:rsidRPr="00FB1CCB" w:rsidRDefault="00FB1CCB" w:rsidP="00FB1CCB">
      <w:pPr>
        <w:spacing w:beforeLines="50" w:before="156" w:afterLines="50" w:after="156" w:line="240" w:lineRule="auto"/>
        <w:ind w:firstLineChars="0" w:firstLine="0"/>
        <w:jc w:val="center"/>
      </w:pPr>
      <w:r>
        <w:rPr>
          <w:rFonts w:cs="Times New Roman" w:hint="eastAsia"/>
          <w:noProof/>
        </w:rPr>
        <w:drawing>
          <wp:inline distT="0" distB="0" distL="0" distR="0">
            <wp:extent cx="4319905" cy="1960600"/>
            <wp:effectExtent l="0" t="0" r="4445" b="1905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fig1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196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2AA2" w:rsidRDefault="00E333EC" w:rsidP="00FB1CCB">
      <w:pPr>
        <w:spacing w:beforeLines="100" w:before="312" w:afterLines="100" w:after="312" w:line="360" w:lineRule="auto"/>
        <w:ind w:firstLineChars="0" w:firstLine="0"/>
        <w:jc w:val="center"/>
        <w:rPr>
          <w:sz w:val="21"/>
          <w:szCs w:val="21"/>
        </w:rPr>
      </w:pPr>
      <w:r>
        <w:rPr>
          <w:rFonts w:hint="eastAsia"/>
          <w:sz w:val="21"/>
          <w:szCs w:val="21"/>
        </w:rPr>
        <w:t>Fig. S1 SEM results: (a-</w:t>
      </w:r>
      <w:proofErr w:type="gramStart"/>
      <w:r>
        <w:rPr>
          <w:rFonts w:hint="eastAsia"/>
          <w:sz w:val="21"/>
          <w:szCs w:val="21"/>
        </w:rPr>
        <w:t>c)ZIF</w:t>
      </w:r>
      <w:proofErr w:type="gramEnd"/>
      <w:r>
        <w:rPr>
          <w:rFonts w:hint="eastAsia"/>
          <w:sz w:val="21"/>
          <w:szCs w:val="21"/>
        </w:rPr>
        <w:t>-8, (d-f)Fe-P/N-C.</w:t>
      </w:r>
    </w:p>
    <w:p w:rsidR="00EB2AA2" w:rsidRDefault="00E333EC">
      <w:pPr>
        <w:ind w:firstLine="600"/>
      </w:pPr>
      <w:r>
        <w:rPr>
          <w:rFonts w:hint="eastAsia"/>
          <w:noProof/>
        </w:rPr>
        <w:drawing>
          <wp:inline distT="0" distB="0" distL="114300" distR="114300">
            <wp:extent cx="4564380" cy="3184630"/>
            <wp:effectExtent l="0" t="0" r="762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-zif-8 对比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4380" cy="318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2AA2" w:rsidRDefault="00E333EC" w:rsidP="00DA6D64">
      <w:pPr>
        <w:spacing w:beforeLines="100" w:before="312" w:afterLines="100" w:after="312" w:line="360" w:lineRule="auto"/>
        <w:ind w:firstLineChars="0" w:firstLine="0"/>
        <w:jc w:val="center"/>
        <w:rPr>
          <w:sz w:val="21"/>
          <w:szCs w:val="21"/>
        </w:rPr>
      </w:pPr>
      <w:r>
        <w:rPr>
          <w:rFonts w:hint="eastAsia"/>
          <w:sz w:val="21"/>
          <w:szCs w:val="21"/>
        </w:rPr>
        <w:t>Fig. S2 XRD patterns of ZIF-8 and DPPF@ZIF-8.</w:t>
      </w:r>
    </w:p>
    <w:p w:rsidR="00DA6D64" w:rsidRDefault="00DA6D64" w:rsidP="00DA6D64">
      <w:pPr>
        <w:spacing w:beforeLines="100" w:before="312" w:afterLines="100" w:after="312" w:line="360" w:lineRule="auto"/>
        <w:ind w:firstLineChars="0" w:firstLine="0"/>
        <w:jc w:val="center"/>
        <w:rPr>
          <w:sz w:val="21"/>
          <w:szCs w:val="21"/>
        </w:rPr>
      </w:pPr>
    </w:p>
    <w:p w:rsidR="00DA6D64" w:rsidRDefault="00DA6D64" w:rsidP="00DA6D64">
      <w:pPr>
        <w:spacing w:beforeLines="100" w:before="312" w:afterLines="100" w:after="312" w:line="360" w:lineRule="auto"/>
        <w:ind w:firstLineChars="0" w:firstLine="0"/>
        <w:jc w:val="center"/>
        <w:rPr>
          <w:sz w:val="21"/>
          <w:szCs w:val="21"/>
        </w:rPr>
      </w:pPr>
    </w:p>
    <w:p w:rsidR="00DA6D64" w:rsidRDefault="00DA6D64" w:rsidP="00DA6D64">
      <w:pPr>
        <w:spacing w:beforeLines="100" w:before="312" w:afterLines="100" w:after="312" w:line="360" w:lineRule="auto"/>
        <w:ind w:firstLineChars="0" w:firstLine="0"/>
        <w:jc w:val="center"/>
        <w:rPr>
          <w:sz w:val="21"/>
          <w:szCs w:val="21"/>
        </w:rPr>
      </w:pPr>
      <w:r w:rsidRPr="00DA6D64">
        <w:rPr>
          <w:rFonts w:hint="eastAsia"/>
          <w:noProof/>
          <w:sz w:val="21"/>
          <w:szCs w:val="21"/>
        </w:rPr>
        <w:lastRenderedPageBreak/>
        <w:drawing>
          <wp:inline distT="0" distB="0" distL="0" distR="0" wp14:anchorId="0ED8CD6D" wp14:editId="2E4D8AC4">
            <wp:extent cx="5124182" cy="1453515"/>
            <wp:effectExtent l="0" t="0" r="63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fig. s3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4182" cy="145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2AA2" w:rsidRDefault="00E333EC" w:rsidP="00DA6D64">
      <w:pPr>
        <w:spacing w:beforeLines="100" w:before="312" w:afterLines="100" w:after="312" w:line="360" w:lineRule="auto"/>
        <w:ind w:firstLineChars="0" w:firstLine="0"/>
        <w:jc w:val="center"/>
        <w:rPr>
          <w:sz w:val="21"/>
          <w:szCs w:val="21"/>
        </w:rPr>
      </w:pPr>
      <w:r>
        <w:rPr>
          <w:rFonts w:hint="eastAsia"/>
          <w:sz w:val="21"/>
          <w:szCs w:val="21"/>
        </w:rPr>
        <w:t>Fig. S3 (a) Fe 2p, (b) N 1s and (c) N species content of Fe-N-C and Fe-P/N-C.</w:t>
      </w:r>
    </w:p>
    <w:p w:rsidR="00EB2AA2" w:rsidRDefault="00DA6D64" w:rsidP="00DA6D64">
      <w:pPr>
        <w:spacing w:line="240" w:lineRule="auto"/>
        <w:ind w:firstLineChars="0" w:firstLine="0"/>
        <w:jc w:val="center"/>
      </w:pPr>
      <w:r>
        <w:rPr>
          <w:rFonts w:hint="eastAsia"/>
          <w:noProof/>
        </w:rPr>
        <w:drawing>
          <wp:inline distT="0" distB="0" distL="0" distR="0">
            <wp:extent cx="3600000" cy="2743437"/>
            <wp:effectExtent l="0" t="0" r="63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S1-CV-2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743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2AA2" w:rsidRDefault="00E333EC" w:rsidP="00DA6D64">
      <w:pPr>
        <w:spacing w:beforeLines="100" w:before="312" w:afterLines="100" w:after="312" w:line="360" w:lineRule="auto"/>
        <w:ind w:firstLineChars="0" w:firstLine="0"/>
        <w:jc w:val="center"/>
        <w:rPr>
          <w:sz w:val="21"/>
          <w:szCs w:val="21"/>
        </w:rPr>
      </w:pPr>
      <w:r>
        <w:rPr>
          <w:rFonts w:hint="eastAsia"/>
          <w:sz w:val="21"/>
          <w:szCs w:val="21"/>
        </w:rPr>
        <w:t>Fig. S4 CV curves of N-C, Fe-N-C and Fe-P/N-C in O</w:t>
      </w:r>
      <w:r w:rsidRPr="00DA6D64">
        <w:rPr>
          <w:rFonts w:hint="eastAsia"/>
          <w:sz w:val="21"/>
          <w:szCs w:val="21"/>
          <w:vertAlign w:val="subscript"/>
        </w:rPr>
        <w:t>2</w:t>
      </w:r>
      <w:r>
        <w:rPr>
          <w:rFonts w:hint="eastAsia"/>
          <w:sz w:val="21"/>
          <w:szCs w:val="21"/>
        </w:rPr>
        <w:t>-saturated 0.1 M KOH solution.</w:t>
      </w:r>
    </w:p>
    <w:p w:rsidR="00EB2AA2" w:rsidRDefault="00E333EC" w:rsidP="00DA6D64">
      <w:pPr>
        <w:spacing w:beforeLines="50" w:before="156" w:afterLines="50" w:after="156" w:line="240" w:lineRule="auto"/>
        <w:ind w:firstLineChars="0" w:firstLine="0"/>
        <w:jc w:val="center"/>
        <w:rPr>
          <w:sz w:val="21"/>
          <w:szCs w:val="21"/>
        </w:rPr>
      </w:pPr>
      <w:r>
        <w:rPr>
          <w:rFonts w:hint="eastAsia"/>
          <w:noProof/>
          <w:sz w:val="21"/>
          <w:szCs w:val="21"/>
        </w:rPr>
        <w:drawing>
          <wp:inline distT="0" distB="0" distL="114300" distR="114300">
            <wp:extent cx="2844828" cy="2457007"/>
            <wp:effectExtent l="0" t="0" r="0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ptc cv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4828" cy="2457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2AA2" w:rsidRDefault="00E333EC" w:rsidP="00DA6D64">
      <w:pPr>
        <w:spacing w:beforeLines="100" w:before="312" w:afterLines="100" w:after="312" w:line="360" w:lineRule="auto"/>
        <w:ind w:firstLineChars="0" w:firstLine="0"/>
        <w:jc w:val="center"/>
        <w:rPr>
          <w:sz w:val="21"/>
          <w:szCs w:val="21"/>
        </w:rPr>
      </w:pPr>
      <w:r>
        <w:rPr>
          <w:rFonts w:hint="eastAsia"/>
          <w:sz w:val="21"/>
          <w:szCs w:val="21"/>
        </w:rPr>
        <w:t>Fig. S5 CV curve of 20 wt% Pt/C in O</w:t>
      </w:r>
      <w:r w:rsidRPr="00DA6D64">
        <w:rPr>
          <w:rFonts w:hint="eastAsia"/>
          <w:sz w:val="21"/>
          <w:szCs w:val="21"/>
          <w:vertAlign w:val="subscript"/>
        </w:rPr>
        <w:t>2</w:t>
      </w:r>
      <w:r>
        <w:rPr>
          <w:rFonts w:hint="eastAsia"/>
          <w:sz w:val="21"/>
          <w:szCs w:val="21"/>
        </w:rPr>
        <w:t>-saturated 0.1 M KOH solution.</w:t>
      </w:r>
    </w:p>
    <w:p w:rsidR="00EB2AA2" w:rsidRDefault="00E333EC">
      <w:pPr>
        <w:ind w:firstLineChars="0" w:firstLine="0"/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>
            <wp:extent cx="4919216" cy="209931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PTC SI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9216" cy="209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2AA2" w:rsidRDefault="00E333EC" w:rsidP="00D363FE">
      <w:pPr>
        <w:spacing w:beforeLines="100" w:before="312" w:afterLines="100" w:after="312" w:line="360" w:lineRule="auto"/>
        <w:ind w:leftChars="400" w:left="1200" w:rightChars="400" w:right="1200" w:firstLineChars="0" w:firstLine="0"/>
        <w:jc w:val="center"/>
        <w:rPr>
          <w:sz w:val="21"/>
          <w:szCs w:val="21"/>
        </w:rPr>
      </w:pPr>
      <w:r>
        <w:rPr>
          <w:rFonts w:hint="eastAsia"/>
          <w:sz w:val="21"/>
          <w:szCs w:val="21"/>
        </w:rPr>
        <w:t>Fig. S6 Polarization curves at different rotation speeds and K-L plots of Pt/C at different electrode potentials.</w:t>
      </w:r>
    </w:p>
    <w:p w:rsidR="00EB2AA2" w:rsidRDefault="00E333EC" w:rsidP="00DA6D64">
      <w:pPr>
        <w:spacing w:beforeLines="100" w:before="312" w:afterLines="100" w:after="312" w:line="240" w:lineRule="auto"/>
        <w:ind w:firstLineChars="0" w:firstLine="0"/>
        <w:jc w:val="center"/>
      </w:pPr>
      <w:r>
        <w:rPr>
          <w:rFonts w:hint="eastAsia"/>
          <w:noProof/>
        </w:rPr>
        <w:drawing>
          <wp:inline distT="0" distB="0" distL="0" distR="0">
            <wp:extent cx="5040000" cy="1118103"/>
            <wp:effectExtent l="0" t="0" r="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s4.tif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1118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2AA2" w:rsidRDefault="00E333EC" w:rsidP="00DA6D64">
      <w:pPr>
        <w:spacing w:beforeLines="100" w:before="312" w:afterLines="100" w:after="312" w:line="240" w:lineRule="auto"/>
        <w:ind w:firstLineChars="0" w:firstLine="0"/>
        <w:jc w:val="center"/>
        <w:rPr>
          <w:sz w:val="21"/>
          <w:szCs w:val="21"/>
        </w:rPr>
      </w:pPr>
      <w:r>
        <w:rPr>
          <w:rFonts w:hint="eastAsia"/>
          <w:sz w:val="21"/>
          <w:szCs w:val="21"/>
        </w:rPr>
        <w:t>Fig. S7 SEM morphology after 18 h discharge in Zn-air battery.</w:t>
      </w:r>
    </w:p>
    <w:p w:rsidR="00EB2AA2" w:rsidRDefault="00E333EC" w:rsidP="00DA6D64">
      <w:pPr>
        <w:spacing w:beforeLines="100" w:before="312" w:afterLines="100" w:after="312" w:line="240" w:lineRule="auto"/>
        <w:ind w:firstLineChars="0" w:firstLine="0"/>
        <w:jc w:val="center"/>
        <w:rPr>
          <w:sz w:val="21"/>
          <w:szCs w:val="21"/>
        </w:rPr>
      </w:pPr>
      <w:r>
        <w:rPr>
          <w:rFonts w:hint="eastAsia"/>
          <w:noProof/>
        </w:rPr>
        <w:drawing>
          <wp:inline distT="0" distB="0" distL="0" distR="0">
            <wp:extent cx="3599815" cy="3066396"/>
            <wp:effectExtent l="0" t="0" r="635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after znair xps fepnc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3066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2AA2" w:rsidRDefault="00E333EC" w:rsidP="00DA6D64">
      <w:pPr>
        <w:spacing w:beforeLines="100" w:before="312" w:afterLines="100" w:after="312" w:line="240" w:lineRule="auto"/>
        <w:ind w:firstLineChars="0" w:firstLine="0"/>
        <w:jc w:val="center"/>
        <w:rPr>
          <w:sz w:val="21"/>
          <w:szCs w:val="21"/>
        </w:rPr>
      </w:pPr>
      <w:r>
        <w:rPr>
          <w:rFonts w:hint="eastAsia"/>
          <w:sz w:val="21"/>
          <w:szCs w:val="21"/>
        </w:rPr>
        <w:t>Fig. S8 XPS results after 18 h discharge in Zn-air battery.</w:t>
      </w:r>
      <w:r w:rsidR="00D363FE">
        <w:rPr>
          <w:sz w:val="21"/>
          <w:szCs w:val="21"/>
        </w:rPr>
        <w:t xml:space="preserve"> (a) Fe 2p; (b) P 2p; (c) N 1s; (d) C 1s.</w:t>
      </w:r>
    </w:p>
    <w:p w:rsidR="00EB2AA2" w:rsidRPr="00D363FE" w:rsidRDefault="00EB2AA2">
      <w:pPr>
        <w:spacing w:beforeLines="50" w:before="156" w:afterLines="50" w:after="156"/>
        <w:ind w:firstLineChars="0" w:firstLine="0"/>
        <w:jc w:val="center"/>
        <w:rPr>
          <w:sz w:val="21"/>
          <w:szCs w:val="21"/>
        </w:rPr>
      </w:pPr>
    </w:p>
    <w:p w:rsidR="00EB2AA2" w:rsidRDefault="00EB2AA2">
      <w:pPr>
        <w:spacing w:beforeLines="50" w:before="156" w:afterLines="50" w:after="156"/>
        <w:ind w:firstLineChars="0" w:firstLine="0"/>
        <w:jc w:val="center"/>
        <w:rPr>
          <w:sz w:val="21"/>
          <w:szCs w:val="21"/>
        </w:rPr>
      </w:pPr>
    </w:p>
    <w:p w:rsidR="00EB2AA2" w:rsidRDefault="00E333EC" w:rsidP="00DA6D64">
      <w:pPr>
        <w:spacing w:beforeLines="100" w:before="312" w:afterLines="100" w:after="312" w:line="240" w:lineRule="auto"/>
        <w:ind w:firstLineChars="0" w:firstLine="0"/>
        <w:jc w:val="center"/>
        <w:rPr>
          <w:sz w:val="21"/>
          <w:szCs w:val="21"/>
        </w:rPr>
      </w:pPr>
      <w:r>
        <w:rPr>
          <w:rFonts w:hint="eastAsia"/>
          <w:sz w:val="21"/>
          <w:szCs w:val="21"/>
        </w:rPr>
        <w:lastRenderedPageBreak/>
        <w:t>Table S1 Estimated percent of Fe, N and P obtained by the XPS spectra of Fe-N-C and Fe-P/N-C.</w:t>
      </w: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268"/>
        <w:gridCol w:w="2268"/>
      </w:tblGrid>
      <w:tr w:rsidR="00EB2AA2">
        <w:tc>
          <w:tcPr>
            <w:tcW w:w="2268" w:type="dxa"/>
            <w:tcBorders>
              <w:left w:val="nil"/>
            </w:tcBorders>
          </w:tcPr>
          <w:p w:rsidR="00EB2AA2" w:rsidRDefault="00E333EC">
            <w:pPr>
              <w:spacing w:beforeLines="50" w:before="156" w:afterLines="50" w:after="156"/>
              <w:ind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Elements atom content (at%)</w:t>
            </w:r>
          </w:p>
        </w:tc>
        <w:tc>
          <w:tcPr>
            <w:tcW w:w="2268" w:type="dxa"/>
          </w:tcPr>
          <w:p w:rsidR="00EB2AA2" w:rsidRPr="00DA6D64" w:rsidRDefault="00E333EC">
            <w:pPr>
              <w:spacing w:beforeLines="50" w:before="156" w:afterLines="50" w:after="156"/>
              <w:ind w:firstLineChars="0" w:firstLine="0"/>
              <w:jc w:val="center"/>
              <w:rPr>
                <w:sz w:val="32"/>
              </w:rPr>
            </w:pPr>
            <w:r w:rsidRPr="00DA6D64">
              <w:rPr>
                <w:rFonts w:hint="eastAsia"/>
                <w:sz w:val="32"/>
              </w:rPr>
              <w:t>Fe</w:t>
            </w:r>
          </w:p>
        </w:tc>
        <w:tc>
          <w:tcPr>
            <w:tcW w:w="2268" w:type="dxa"/>
          </w:tcPr>
          <w:p w:rsidR="00EB2AA2" w:rsidRPr="00DA6D64" w:rsidRDefault="00E333EC">
            <w:pPr>
              <w:spacing w:beforeLines="50" w:before="156" w:afterLines="50" w:after="156"/>
              <w:ind w:firstLineChars="0" w:firstLine="0"/>
              <w:jc w:val="center"/>
              <w:rPr>
                <w:sz w:val="32"/>
              </w:rPr>
            </w:pPr>
            <w:r w:rsidRPr="00DA6D64">
              <w:rPr>
                <w:rFonts w:hint="eastAsia"/>
                <w:sz w:val="32"/>
              </w:rPr>
              <w:t>N</w:t>
            </w:r>
          </w:p>
        </w:tc>
        <w:tc>
          <w:tcPr>
            <w:tcW w:w="2268" w:type="dxa"/>
            <w:tcBorders>
              <w:right w:val="nil"/>
            </w:tcBorders>
          </w:tcPr>
          <w:p w:rsidR="00EB2AA2" w:rsidRPr="00DA6D64" w:rsidRDefault="00E333EC">
            <w:pPr>
              <w:spacing w:beforeLines="50" w:before="156" w:afterLines="50" w:after="156"/>
              <w:ind w:firstLineChars="0" w:firstLine="0"/>
              <w:jc w:val="center"/>
              <w:rPr>
                <w:sz w:val="32"/>
              </w:rPr>
            </w:pPr>
            <w:r w:rsidRPr="00DA6D64">
              <w:rPr>
                <w:rFonts w:hint="eastAsia"/>
                <w:sz w:val="32"/>
              </w:rPr>
              <w:t>P</w:t>
            </w:r>
          </w:p>
        </w:tc>
      </w:tr>
      <w:tr w:rsidR="00EB2AA2">
        <w:tc>
          <w:tcPr>
            <w:tcW w:w="2268" w:type="dxa"/>
            <w:tcBorders>
              <w:left w:val="nil"/>
            </w:tcBorders>
          </w:tcPr>
          <w:p w:rsidR="00EB2AA2" w:rsidRDefault="00E333EC">
            <w:pPr>
              <w:spacing w:beforeLines="50" w:before="156" w:afterLines="50" w:after="156"/>
              <w:ind w:firstLineChars="0" w:firstLine="0"/>
              <w:jc w:val="center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Fe-N-C</w:t>
            </w:r>
          </w:p>
        </w:tc>
        <w:tc>
          <w:tcPr>
            <w:tcW w:w="2268" w:type="dxa"/>
          </w:tcPr>
          <w:p w:rsidR="00EB2AA2" w:rsidRDefault="00E333EC">
            <w:pPr>
              <w:spacing w:beforeLines="50" w:before="156" w:afterLines="50" w:after="156"/>
              <w:ind w:firstLineChars="0" w:firstLine="0"/>
              <w:jc w:val="center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0.18</w:t>
            </w:r>
          </w:p>
        </w:tc>
        <w:tc>
          <w:tcPr>
            <w:tcW w:w="2268" w:type="dxa"/>
          </w:tcPr>
          <w:p w:rsidR="00EB2AA2" w:rsidRDefault="00E333EC">
            <w:pPr>
              <w:spacing w:beforeLines="50" w:before="156" w:afterLines="50" w:after="156"/>
              <w:ind w:firstLineChars="0" w:firstLine="0"/>
              <w:jc w:val="center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2.61</w:t>
            </w:r>
          </w:p>
        </w:tc>
        <w:tc>
          <w:tcPr>
            <w:tcW w:w="2268" w:type="dxa"/>
            <w:tcBorders>
              <w:right w:val="nil"/>
            </w:tcBorders>
          </w:tcPr>
          <w:p w:rsidR="00EB2AA2" w:rsidRDefault="00E333EC">
            <w:pPr>
              <w:spacing w:beforeLines="50" w:before="156" w:afterLines="50" w:after="156"/>
              <w:ind w:firstLineChars="0" w:firstLine="0"/>
              <w:jc w:val="center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/</w:t>
            </w:r>
          </w:p>
        </w:tc>
      </w:tr>
      <w:tr w:rsidR="00EB2AA2">
        <w:tc>
          <w:tcPr>
            <w:tcW w:w="2268" w:type="dxa"/>
            <w:tcBorders>
              <w:left w:val="nil"/>
            </w:tcBorders>
          </w:tcPr>
          <w:p w:rsidR="00EB2AA2" w:rsidRDefault="00E333EC">
            <w:pPr>
              <w:spacing w:beforeLines="50" w:before="156" w:afterLines="50" w:after="156"/>
              <w:ind w:firstLineChars="0" w:firstLine="0"/>
              <w:jc w:val="center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Fe-P/N-C</w:t>
            </w:r>
          </w:p>
        </w:tc>
        <w:tc>
          <w:tcPr>
            <w:tcW w:w="2268" w:type="dxa"/>
          </w:tcPr>
          <w:p w:rsidR="00EB2AA2" w:rsidRDefault="00E333EC">
            <w:pPr>
              <w:spacing w:beforeLines="50" w:before="156" w:afterLines="50" w:after="156"/>
              <w:ind w:firstLineChars="0" w:firstLine="0"/>
              <w:jc w:val="center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0.22</w:t>
            </w:r>
          </w:p>
        </w:tc>
        <w:tc>
          <w:tcPr>
            <w:tcW w:w="2268" w:type="dxa"/>
          </w:tcPr>
          <w:p w:rsidR="00EB2AA2" w:rsidRDefault="00E333EC">
            <w:pPr>
              <w:spacing w:beforeLines="50" w:before="156" w:afterLines="50" w:after="156"/>
              <w:ind w:firstLineChars="0" w:firstLine="0"/>
              <w:jc w:val="center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2.55</w:t>
            </w:r>
          </w:p>
        </w:tc>
        <w:tc>
          <w:tcPr>
            <w:tcW w:w="2268" w:type="dxa"/>
            <w:tcBorders>
              <w:right w:val="nil"/>
            </w:tcBorders>
          </w:tcPr>
          <w:p w:rsidR="00EB2AA2" w:rsidRDefault="00E333EC">
            <w:pPr>
              <w:spacing w:beforeLines="50" w:before="156" w:afterLines="50" w:after="156"/>
              <w:ind w:firstLineChars="0" w:firstLine="0"/>
              <w:jc w:val="center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1.32</w:t>
            </w:r>
          </w:p>
        </w:tc>
      </w:tr>
    </w:tbl>
    <w:p w:rsidR="00EB2AA2" w:rsidRDefault="00EB2AA2">
      <w:pPr>
        <w:spacing w:beforeLines="50" w:before="156" w:afterLines="50" w:after="156"/>
        <w:ind w:firstLineChars="0" w:firstLine="0"/>
        <w:jc w:val="center"/>
        <w:rPr>
          <w:sz w:val="21"/>
          <w:szCs w:val="21"/>
        </w:rPr>
      </w:pPr>
    </w:p>
    <w:p w:rsidR="00EB2AA2" w:rsidRDefault="00EB2AA2">
      <w:pPr>
        <w:ind w:firstLineChars="0" w:firstLine="0"/>
        <w:jc w:val="center"/>
      </w:pPr>
    </w:p>
    <w:p w:rsidR="00EB2AA2" w:rsidRDefault="00EB2AA2">
      <w:pPr>
        <w:ind w:firstLineChars="0" w:firstLine="0"/>
        <w:jc w:val="center"/>
      </w:pPr>
    </w:p>
    <w:p w:rsidR="00EB2AA2" w:rsidRDefault="00EB2AA2">
      <w:pPr>
        <w:ind w:firstLine="600"/>
      </w:pPr>
    </w:p>
    <w:p w:rsidR="00EB2AA2" w:rsidRDefault="00EB2AA2">
      <w:pPr>
        <w:ind w:firstLine="600"/>
      </w:pPr>
    </w:p>
    <w:p w:rsidR="00EB2AA2" w:rsidRDefault="00EB2AA2">
      <w:pPr>
        <w:ind w:firstLine="600"/>
      </w:pPr>
    </w:p>
    <w:sectPr w:rsidR="00EB2AA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2533B" w:rsidRDefault="00F2533B">
      <w:pPr>
        <w:spacing w:line="240" w:lineRule="auto"/>
        <w:ind w:firstLine="600"/>
      </w:pPr>
      <w:r>
        <w:separator/>
      </w:r>
    </w:p>
  </w:endnote>
  <w:endnote w:type="continuationSeparator" w:id="0">
    <w:p w:rsidR="00F2533B" w:rsidRDefault="00F2533B">
      <w:pPr>
        <w:spacing w:line="240" w:lineRule="auto"/>
        <w:ind w:firstLine="60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1CCB" w:rsidRDefault="00FB1CCB">
    <w:pPr>
      <w:pStyle w:val="a9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1CCB" w:rsidRDefault="00FB1CCB">
    <w:pPr>
      <w:pStyle w:val="a9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1CCB" w:rsidRDefault="00FB1CCB">
    <w:pPr>
      <w:pStyle w:val="a9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2533B" w:rsidRDefault="00F2533B">
      <w:pPr>
        <w:ind w:firstLine="600"/>
      </w:pPr>
      <w:r>
        <w:separator/>
      </w:r>
    </w:p>
  </w:footnote>
  <w:footnote w:type="continuationSeparator" w:id="0">
    <w:p w:rsidR="00F2533B" w:rsidRDefault="00F2533B">
      <w:pPr>
        <w:ind w:firstLine="60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1CCB" w:rsidRDefault="00FB1CCB">
    <w:pPr>
      <w:pStyle w:val="a7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1CCB" w:rsidRDefault="00FB1CCB">
    <w:pPr>
      <w:pStyle w:val="a7"/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1CCB" w:rsidRDefault="00FB1CCB">
    <w:pPr>
      <w:pStyle w:val="a7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ZjYTY4MmI1Y2YwMjQzOThlYjM5NTI1Y2Q0NmYyMTkifQ=="/>
  </w:docVars>
  <w:rsids>
    <w:rsidRoot w:val="547A0A81"/>
    <w:rsid w:val="00003BD5"/>
    <w:rsid w:val="001D04F4"/>
    <w:rsid w:val="003912D8"/>
    <w:rsid w:val="00420049"/>
    <w:rsid w:val="00A52A6D"/>
    <w:rsid w:val="00C47AF0"/>
    <w:rsid w:val="00D363FE"/>
    <w:rsid w:val="00DA6D64"/>
    <w:rsid w:val="00E333EC"/>
    <w:rsid w:val="00EB2AA2"/>
    <w:rsid w:val="00F13259"/>
    <w:rsid w:val="00F1640D"/>
    <w:rsid w:val="00F2533B"/>
    <w:rsid w:val="00FB1CCB"/>
    <w:rsid w:val="13E56991"/>
    <w:rsid w:val="17DA24B8"/>
    <w:rsid w:val="25C65E72"/>
    <w:rsid w:val="27FC5480"/>
    <w:rsid w:val="28CA01D8"/>
    <w:rsid w:val="29A354FD"/>
    <w:rsid w:val="2F257BE7"/>
    <w:rsid w:val="3901470F"/>
    <w:rsid w:val="4CB043F7"/>
    <w:rsid w:val="547A0A81"/>
    <w:rsid w:val="62EC5152"/>
    <w:rsid w:val="71A63A80"/>
    <w:rsid w:val="71CF2D7F"/>
    <w:rsid w:val="76FD2E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1A97189B"/>
  <w15:docId w15:val="{BEDD1447-0BFB-4B7B-9BC3-C1B9E667E8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adjustRightInd w:val="0"/>
      <w:snapToGrid w:val="0"/>
      <w:spacing w:line="353" w:lineRule="auto"/>
      <w:ind w:firstLineChars="200" w:firstLine="624"/>
      <w:jc w:val="both"/>
    </w:pPr>
    <w:rPr>
      <w:rFonts w:eastAsia="仿宋" w:cstheme="minorBidi"/>
      <w:kern w:val="2"/>
      <w:sz w:val="30"/>
      <w:szCs w:val="32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360" w:lineRule="auto"/>
      <w:jc w:val="center"/>
      <w:outlineLvl w:val="0"/>
    </w:pPr>
    <w:rPr>
      <w:rFonts w:asciiTheme="minorHAnsi" w:hAnsiTheme="minorHAnsi"/>
      <w:b/>
      <w:kern w:val="44"/>
      <w:szCs w:val="22"/>
    </w:rPr>
  </w:style>
  <w:style w:type="paragraph" w:styleId="2">
    <w:name w:val="heading 2"/>
    <w:basedOn w:val="a"/>
    <w:next w:val="a"/>
    <w:semiHidden/>
    <w:unhideWhenUsed/>
    <w:qFormat/>
    <w:pPr>
      <w:keepNext/>
      <w:keepLines/>
      <w:spacing w:before="260" w:after="260" w:line="240" w:lineRule="auto"/>
      <w:outlineLvl w:val="1"/>
    </w:pPr>
    <w:rPr>
      <w:rFonts w:ascii="Arial" w:eastAsia="黑体" w:hAnsi="Arial"/>
      <w:b/>
      <w:sz w:val="28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pPr>
      <w:spacing w:beforeAutospacing="1" w:afterAutospacing="1"/>
      <w:jc w:val="left"/>
    </w:pPr>
    <w:rPr>
      <w:rFonts w:cs="Times New Roman"/>
      <w:kern w:val="0"/>
      <w:sz w:val="24"/>
    </w:rPr>
  </w:style>
  <w:style w:type="table" w:styleId="a4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Emphasis"/>
    <w:basedOn w:val="a0"/>
    <w:qFormat/>
    <w:rPr>
      <w:i/>
    </w:rPr>
  </w:style>
  <w:style w:type="character" w:styleId="a6">
    <w:name w:val="Hyperlink"/>
    <w:basedOn w:val="a0"/>
    <w:rPr>
      <w:color w:val="0000FF"/>
      <w:u w:val="single"/>
    </w:rPr>
  </w:style>
  <w:style w:type="paragraph" w:customStyle="1" w:styleId="10">
    <w:name w:val="正文1"/>
    <w:autoRedefine/>
    <w:qFormat/>
    <w:pPr>
      <w:jc w:val="both"/>
    </w:pPr>
    <w:rPr>
      <w:kern w:val="2"/>
      <w:sz w:val="21"/>
      <w:szCs w:val="21"/>
    </w:rPr>
  </w:style>
  <w:style w:type="paragraph" w:styleId="a7">
    <w:name w:val="header"/>
    <w:basedOn w:val="a"/>
    <w:link w:val="a8"/>
    <w:rsid w:val="00FB1CCB"/>
    <w:pPr>
      <w:pBdr>
        <w:bottom w:val="single" w:sz="6" w:space="1" w:color="auto"/>
      </w:pBdr>
      <w:tabs>
        <w:tab w:val="center" w:pos="4153"/>
        <w:tab w:val="right" w:pos="8306"/>
      </w:tabs>
      <w:spacing w:line="240" w:lineRule="auto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rsid w:val="00FB1CCB"/>
    <w:rPr>
      <w:rFonts w:eastAsia="仿宋" w:cstheme="minorBidi"/>
      <w:kern w:val="2"/>
      <w:sz w:val="18"/>
      <w:szCs w:val="18"/>
    </w:rPr>
  </w:style>
  <w:style w:type="paragraph" w:styleId="a9">
    <w:name w:val="footer"/>
    <w:basedOn w:val="a"/>
    <w:link w:val="aa"/>
    <w:rsid w:val="00FB1CCB"/>
    <w:pPr>
      <w:tabs>
        <w:tab w:val="center" w:pos="4153"/>
        <w:tab w:val="right" w:pos="8306"/>
      </w:tabs>
      <w:spacing w:line="240" w:lineRule="auto"/>
      <w:jc w:val="left"/>
    </w:pPr>
    <w:rPr>
      <w:sz w:val="18"/>
      <w:szCs w:val="18"/>
    </w:rPr>
  </w:style>
  <w:style w:type="character" w:customStyle="1" w:styleId="aa">
    <w:name w:val="页脚 字符"/>
    <w:basedOn w:val="a0"/>
    <w:link w:val="a9"/>
    <w:rsid w:val="00FB1CCB"/>
    <w:rPr>
      <w:rFonts w:eastAsia="仿宋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2.tif"/><Relationship Id="rId18" Type="http://schemas.openxmlformats.org/officeDocument/2006/relationships/image" Target="media/image7.tif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header" Target="header2.xml"/><Relationship Id="rId12" Type="http://schemas.openxmlformats.org/officeDocument/2006/relationships/image" Target="media/image1.tiff"/><Relationship Id="rId17" Type="http://schemas.openxmlformats.org/officeDocument/2006/relationships/image" Target="media/image6.tif"/><Relationship Id="rId2" Type="http://schemas.openxmlformats.org/officeDocument/2006/relationships/settings" Target="settings.xml"/><Relationship Id="rId16" Type="http://schemas.openxmlformats.org/officeDocument/2006/relationships/image" Target="media/image5.tiff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5" Type="http://schemas.openxmlformats.org/officeDocument/2006/relationships/image" Target="media/image4.tiff"/><Relationship Id="rId10" Type="http://schemas.openxmlformats.org/officeDocument/2006/relationships/header" Target="header3.xml"/><Relationship Id="rId19" Type="http://schemas.openxmlformats.org/officeDocument/2006/relationships/image" Target="media/image8.tiff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image" Target="media/image3.ti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7</Pages>
  <Words>816</Words>
  <Characters>4652</Characters>
  <Application>Microsoft Office Word</Application>
  <DocSecurity>0</DocSecurity>
  <Lines>38</Lines>
  <Paragraphs>10</Paragraphs>
  <ScaleCrop>false</ScaleCrop>
  <Company/>
  <LinksUpToDate>false</LinksUpToDate>
  <CharactersWithSpaces>5458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°Simplicity</dc:creator>
  <cp:lastModifiedBy>admin</cp:lastModifiedBy>
  <cp:revision>11</cp:revision>
  <dcterms:created xsi:type="dcterms:W3CDTF">2024-03-13T02:56:00Z</dcterms:created>
  <dcterms:modified xsi:type="dcterms:W3CDTF">2024-07-21T03:49:00Z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2052-12.1.0.16250</vt:lpwstr>
  </property>
  <property fmtid="{D5CDD505-2E9C-101B-9397-08002B2CF9AE}" pid="3" name="ICV">
    <vt:lpwstr>7F7B40C90F2C4DEEA4FB9715755F8C94_11</vt:lpwstr>
  </property>
</Properties>
</file>